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  <w:t>开封市统计局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2021年度政府信息公开工作年报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年，开封市统计局在市委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市政府的正确领导下，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省、市政府对信息公开工作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的新要求、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新部署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，“一把手”负总责，分管领导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，分级分层分解落实工作责任，不断提高统计信息公开工作质效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。报告所列数据统计期限自20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坚持公开是常态、不公开是例外，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继续规范和深化政府信息公开工作，积极回应公众关切，推进公开平台建设，增强统计服务能力，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结合工作职能，做好信息主动公开工作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。依照统计法律、法规和相关规定，凡涉及公民、法人或者其他组织切身利益，需要社会公众广泛知晓并参与的重要信息都进行了公开。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通过“开封市统计局”官网、“开封统计”微信公众号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、我局编印的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《开封统计月报》《统计数据专报》《开封统计公报》和《开封统计年鉴》等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途径、方式及时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向社会发布工作动态、指标数据等。2021年，通过局门户网站公开信息707条，其中政务动态类信息453条，概况类信息3条，其他类信息（包括统计数据、统计分析等）251条；通过“开封统计”微信公众号公布信息278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依申请公开办理情况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2021年，开封市统计局收到依申请公开4条，对每个申请件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都按照有关规定进行了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答复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。全年无行政复议或被诉讼情况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未对依申请提供政府信息收取任何费用。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（三）政府</w:t>
      </w:r>
      <w:r>
        <w:rPr>
          <w:rFonts w:hint="eastAsia" w:ascii="楷体" w:hAnsi="楷体" w:eastAsia="楷体" w:cs="楷体"/>
          <w:sz w:val="32"/>
          <w:szCs w:val="32"/>
        </w:rPr>
        <w:t>信息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2021年，开封市统计局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市政府信息公开办的指导下，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《开封市统计局政府信息公开工作实施办法》等工作制度，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开展业务培训，持续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推进数据发布审核机制，建立信息发布内容审核和保密审核制度，对所有发布信息进行内容、保密双重审核，严格落实“三审三校”机制，定期开展信息发布自查，优化信息发布标准化流程管理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，确保信息质量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2021年，开封市统计局不断完善信息公开平台，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丰富信息公开渠道载体，加大了公开工作要素保障力度，规范信息公开流程、范围、途径，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分工负责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政府信息公开涉及的网站建设、日常运维、信息公开、互动交流、信息咨询、政策解读等工作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努力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做到全面、及时、准确、充分公开，更高质量的实现了公众对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局履职尽责情况的知情权和监督权。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2021年，开封市统计局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《中华人民共和国保守国家秘密法》和《中华人民共和国政府信息公开条例》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办公室牵头对全局的信息公开情况进行督查检查，督促应公开的信息主动公开，保障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要求落到实处。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(一)主要问题：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信息公开的及时性和完整性有待进一步提高，主动公开的广度和深度有待提高。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(二)改进措施：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加大信息公开力度，进一步完善公开内容，突出时效性；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优化整合信息资源，在政务公开的形式、方式和效果上寻求进步；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加大培训、监督、管理力度，进一步增强保密防范意识。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  <w:t>六、其他需要报告的事项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4EFE74-D73F-4D7E-A36E-821592D2AA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29EB08-7C18-402A-8025-F69B9BFD97C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BAC2B8B-47BC-4BC9-8E6F-3D6475A7C1D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F926B82-83FB-4728-BA9C-B760D509E03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4FBD152-515F-4446-B508-0C750AADBDE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4D263"/>
    <w:multiLevelType w:val="singleLevel"/>
    <w:tmpl w:val="6524D26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14DB9"/>
    <w:rsid w:val="034B78C0"/>
    <w:rsid w:val="037B48A1"/>
    <w:rsid w:val="12512AF5"/>
    <w:rsid w:val="1BB60181"/>
    <w:rsid w:val="1E814F6D"/>
    <w:rsid w:val="1F016D75"/>
    <w:rsid w:val="22BA2AD8"/>
    <w:rsid w:val="25FD5753"/>
    <w:rsid w:val="2F3057F0"/>
    <w:rsid w:val="2FFA3DFF"/>
    <w:rsid w:val="30AA481D"/>
    <w:rsid w:val="31820B28"/>
    <w:rsid w:val="33B853BC"/>
    <w:rsid w:val="4EE554BC"/>
    <w:rsid w:val="5EB17A96"/>
    <w:rsid w:val="6003347C"/>
    <w:rsid w:val="620741A2"/>
    <w:rsid w:val="667A3191"/>
    <w:rsid w:val="6B327B40"/>
    <w:rsid w:val="6D803B42"/>
    <w:rsid w:val="6E2263C7"/>
    <w:rsid w:val="71DB4DD5"/>
    <w:rsid w:val="7C7C7665"/>
    <w:rsid w:val="7C9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2022-01-10T06:10:00Z</dcterms:created>
  <dc:creator>辣条</dc:creator>
  <cp:lastModifiedBy>yang</cp:lastModifiedBy>
  <cp:lastPrinted>2022-01-14T08:03:00Z</cp:lastPrinted>
  <dcterms:modified xsi:type="dcterms:W3CDTF">2022-01-20T06:42:29Z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D9AE8D75787B493DAF07A983859A64BF</vt:lpwstr>
  </property>
</Properties>
</file>